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广西艺术学院新生恢复入学资格申请表</w:t>
      </w:r>
    </w:p>
    <w:bookmarkEnd w:id="0"/>
    <w:p>
      <w:pPr>
        <w:jc w:val="center"/>
        <w:rPr>
          <w:rFonts w:hint="eastAsia" w:eastAsia="黑体"/>
          <w:sz w:val="22"/>
          <w:szCs w:val="15"/>
        </w:rPr>
      </w:pPr>
    </w:p>
    <w:tbl>
      <w:tblPr>
        <w:tblStyle w:val="2"/>
        <w:tblpPr w:leftFromText="180" w:rightFromText="180" w:vertAnchor="text" w:horzAnchor="page" w:tblpX="1567" w:tblpY="69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98"/>
        <w:gridCol w:w="966"/>
        <w:gridCol w:w="679"/>
        <w:gridCol w:w="721"/>
        <w:gridCol w:w="806"/>
        <w:gridCol w:w="737"/>
        <w:gridCol w:w="1257"/>
        <w:gridCol w:w="584"/>
        <w:gridCol w:w="257"/>
        <w:gridCol w:w="939"/>
        <w:gridCol w:w="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恢复前所在年级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专业（研究方向）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保留入学资格时间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ind w:left="600" w:hanging="600" w:hangingChars="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月至    年    月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学校同意保留学籍批复文号</w:t>
            </w:r>
          </w:p>
        </w:tc>
        <w:tc>
          <w:tcPr>
            <w:tcW w:w="294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7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恢复入学后所在年级、 班级</w:t>
            </w:r>
          </w:p>
        </w:tc>
        <w:tc>
          <w:tcPr>
            <w:tcW w:w="646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恢复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8304" w:type="dxa"/>
            <w:gridSpan w:val="12"/>
            <w:vAlign w:val="bottom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申请人（签名）：               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 月     日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家  长（签名）：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8304" w:type="dxa"/>
            <w:gridSpan w:val="12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签章：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相关部门意见</w:t>
            </w:r>
          </w:p>
        </w:tc>
        <w:tc>
          <w:tcPr>
            <w:tcW w:w="8304" w:type="dxa"/>
            <w:gridSpan w:val="12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招生办意见</w:t>
            </w:r>
          </w:p>
        </w:tc>
        <w:tc>
          <w:tcPr>
            <w:tcW w:w="8304" w:type="dxa"/>
            <w:gridSpan w:val="12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 意见</w:t>
            </w:r>
          </w:p>
        </w:tc>
        <w:tc>
          <w:tcPr>
            <w:tcW w:w="8304" w:type="dxa"/>
            <w:gridSpan w:val="12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签章：                 年     月     日</w:t>
            </w:r>
          </w:p>
        </w:tc>
      </w:tr>
    </w:tbl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附以下材料：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1、本人身份证正反面、录取通知书的复印件；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2、因病保留入学资格者，须提供由学校医务所指定的二级甲等以上医院的诊断；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3、应征入伍者，须提供退伍证明材料。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B0B0B"/>
    <w:rsid w:val="028B0B0B"/>
    <w:rsid w:val="3B9C1551"/>
    <w:rsid w:val="3C0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职业生涯"/>
    <w:basedOn w:val="1"/>
    <w:qFormat/>
    <w:uiPriority w:val="0"/>
    <w:rPr>
      <w:rFonts w:asciiTheme="minorAscii" w:hAnsiTheme="minorAscii"/>
    </w:rPr>
  </w:style>
  <w:style w:type="paragraph" w:customStyle="1" w:styleId="5">
    <w:name w:val="广艺发文"/>
    <w:basedOn w:val="1"/>
    <w:qFormat/>
    <w:uiPriority w:val="0"/>
    <w:pPr>
      <w:spacing w:line="520" w:lineRule="exact"/>
      <w:ind w:firstLine="420" w:firstLineChars="200"/>
    </w:pPr>
    <w:rPr>
      <w:rFonts w:cs="仿宋" w:asciiTheme="minorAscii" w:hAnsiTheme="minorAscii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2019-09-05T00:38:00Z</dcterms:created>
  <dc:creator>  在茫茫人海中，</dc:creator>
  <cp:lastModifiedBy>  在茫茫人海中，</cp:lastModifiedBy>
  <dcterms:modified xsi:type="dcterms:W3CDTF">2019-09-05T00:42:40Z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